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Estado de resultados · agosto de 2026 · cifras en millones de pesos</w:t>
      </w:r>
    </w:p>
    <w:p>
      <w:r>
        <w:t>Distribuidora Andina de Ferretería S.A.S. (EMPRESA FICTICIA)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rPr>
                <w:b/>
              </w:rPr>
              <w:t>Concepto</w:t>
            </w:r>
          </w:p>
        </w:tc>
        <w:tc>
          <w:tcPr>
            <w:tcW w:type="dxa" w:w="2493"/>
          </w:tcPr>
          <w:p>
            <w:r>
              <w:rPr>
                <w:b/>
              </w:rPr>
              <w:t>Presupuesto agosto</w:t>
            </w:r>
          </w:p>
        </w:tc>
        <w:tc>
          <w:tcPr>
            <w:tcW w:type="dxa" w:w="2493"/>
          </w:tcPr>
          <w:p>
            <w:r>
              <w:rPr>
                <w:b/>
              </w:rPr>
              <w:t>Real agosto</w:t>
            </w:r>
          </w:p>
        </w:tc>
        <w:tc>
          <w:tcPr>
            <w:tcW w:type="dxa" w:w="2493"/>
          </w:tcPr>
          <w:p>
            <w:r>
              <w:rPr>
                <w:b/>
              </w:rPr>
              <w:t>Real julio</w:t>
            </w:r>
          </w:p>
        </w:tc>
      </w:tr>
      <w:tr>
        <w:tc>
          <w:tcPr>
            <w:tcW w:type="dxa" w:w="2493"/>
          </w:tcPr>
          <w:p>
            <w:r>
              <w:t>Ingresos operacionales</w:t>
            </w:r>
          </w:p>
        </w:tc>
        <w:tc>
          <w:tcPr>
            <w:tcW w:type="dxa" w:w="2493"/>
          </w:tcPr>
          <w:p>
            <w:pPr>
              <w:jc w:val="right"/>
            </w:pPr>
            <w:r>
              <w:t>1.850</w:t>
            </w:r>
          </w:p>
        </w:tc>
        <w:tc>
          <w:tcPr>
            <w:tcW w:type="dxa" w:w="2493"/>
          </w:tcPr>
          <w:p>
            <w:pPr>
              <w:jc w:val="right"/>
            </w:pPr>
            <w:r>
              <w:t>1.712</w:t>
            </w:r>
          </w:p>
        </w:tc>
        <w:tc>
          <w:tcPr>
            <w:tcW w:type="dxa" w:w="2493"/>
          </w:tcPr>
          <w:p>
            <w:pPr>
              <w:jc w:val="right"/>
            </w:pPr>
            <w:r>
              <w:t>1.790</w:t>
            </w:r>
          </w:p>
        </w:tc>
      </w:tr>
      <w:tr>
        <w:tc>
          <w:tcPr>
            <w:tcW w:type="dxa" w:w="2493"/>
          </w:tcPr>
          <w:p>
            <w:r>
              <w:t>Costo de ventas</w:t>
            </w:r>
          </w:p>
        </w:tc>
        <w:tc>
          <w:tcPr>
            <w:tcW w:type="dxa" w:w="2493"/>
          </w:tcPr>
          <w:p>
            <w:pPr>
              <w:jc w:val="right"/>
            </w:pPr>
            <w:r>
              <w:t>(1.295)</w:t>
            </w:r>
          </w:p>
        </w:tc>
        <w:tc>
          <w:tcPr>
            <w:tcW w:type="dxa" w:w="2493"/>
          </w:tcPr>
          <w:p>
            <w:pPr>
              <w:jc w:val="right"/>
            </w:pPr>
            <w:r>
              <w:t>(1.215)</w:t>
            </w:r>
          </w:p>
        </w:tc>
        <w:tc>
          <w:tcPr>
            <w:tcW w:type="dxa" w:w="2493"/>
          </w:tcPr>
          <w:p>
            <w:pPr>
              <w:jc w:val="right"/>
            </w:pPr>
            <w:r>
              <w:t>(1.253)</w:t>
            </w:r>
          </w:p>
        </w:tc>
      </w:tr>
      <w:tr>
        <w:tc>
          <w:tcPr>
            <w:tcW w:type="dxa" w:w="2493"/>
          </w:tcPr>
          <w:p>
            <w:r>
              <w:t>Utilidad bruta</w:t>
            </w:r>
          </w:p>
        </w:tc>
        <w:tc>
          <w:tcPr>
            <w:tcW w:type="dxa" w:w="2493"/>
          </w:tcPr>
          <w:p>
            <w:pPr>
              <w:jc w:val="right"/>
            </w:pPr>
            <w:r>
              <w:t>555</w:t>
            </w:r>
          </w:p>
        </w:tc>
        <w:tc>
          <w:tcPr>
            <w:tcW w:type="dxa" w:w="2493"/>
          </w:tcPr>
          <w:p>
            <w:pPr>
              <w:jc w:val="right"/>
            </w:pPr>
            <w:r>
              <w:t>497</w:t>
            </w:r>
          </w:p>
        </w:tc>
        <w:tc>
          <w:tcPr>
            <w:tcW w:type="dxa" w:w="2493"/>
          </w:tcPr>
          <w:p>
            <w:pPr>
              <w:jc w:val="right"/>
            </w:pPr>
            <w:r>
              <w:t>537</w:t>
            </w:r>
          </w:p>
        </w:tc>
      </w:tr>
      <w:tr>
        <w:tc>
          <w:tcPr>
            <w:tcW w:type="dxa" w:w="2493"/>
          </w:tcPr>
          <w:p>
            <w:r>
              <w:t>Gastos de administración</w:t>
            </w:r>
          </w:p>
        </w:tc>
        <w:tc>
          <w:tcPr>
            <w:tcW w:type="dxa" w:w="2493"/>
          </w:tcPr>
          <w:p>
            <w:pPr>
              <w:jc w:val="right"/>
            </w:pPr>
            <w:r>
              <w:t>(142)</w:t>
            </w:r>
          </w:p>
        </w:tc>
        <w:tc>
          <w:tcPr>
            <w:tcW w:type="dxa" w:w="2493"/>
          </w:tcPr>
          <w:p>
            <w:pPr>
              <w:jc w:val="right"/>
            </w:pPr>
            <w:r>
              <w:t>(151)</w:t>
            </w:r>
          </w:p>
        </w:tc>
        <w:tc>
          <w:tcPr>
            <w:tcW w:type="dxa" w:w="2493"/>
          </w:tcPr>
          <w:p>
            <w:pPr>
              <w:jc w:val="right"/>
            </w:pPr>
            <w:r>
              <w:t>(139)</w:t>
            </w:r>
          </w:p>
        </w:tc>
      </w:tr>
      <w:tr>
        <w:tc>
          <w:tcPr>
            <w:tcW w:type="dxa" w:w="2493"/>
          </w:tcPr>
          <w:p>
            <w:r>
              <w:t>Gastos de ventas</w:t>
            </w:r>
          </w:p>
        </w:tc>
        <w:tc>
          <w:tcPr>
            <w:tcW w:type="dxa" w:w="2493"/>
          </w:tcPr>
          <w:p>
            <w:pPr>
              <w:jc w:val="right"/>
            </w:pPr>
            <w:r>
              <w:t>(198)</w:t>
            </w:r>
          </w:p>
        </w:tc>
        <w:tc>
          <w:tcPr>
            <w:tcW w:type="dxa" w:w="2493"/>
          </w:tcPr>
          <w:p>
            <w:pPr>
              <w:jc w:val="right"/>
            </w:pPr>
            <w:r>
              <w:t>(207)</w:t>
            </w:r>
          </w:p>
        </w:tc>
        <w:tc>
          <w:tcPr>
            <w:tcW w:type="dxa" w:w="2493"/>
          </w:tcPr>
          <w:p>
            <w:pPr>
              <w:jc w:val="right"/>
            </w:pPr>
            <w:r>
              <w:t>(195)</w:t>
            </w:r>
          </w:p>
        </w:tc>
      </w:tr>
      <w:tr>
        <w:tc>
          <w:tcPr>
            <w:tcW w:type="dxa" w:w="2493"/>
          </w:tcPr>
          <w:p>
            <w:r>
              <w:t>Utilidad operacional</w:t>
            </w:r>
          </w:p>
        </w:tc>
        <w:tc>
          <w:tcPr>
            <w:tcW w:type="dxa" w:w="2493"/>
          </w:tcPr>
          <w:p>
            <w:pPr>
              <w:jc w:val="right"/>
            </w:pPr>
            <w:r>
              <w:t>215</w:t>
            </w:r>
          </w:p>
        </w:tc>
        <w:tc>
          <w:tcPr>
            <w:tcW w:type="dxa" w:w="2493"/>
          </w:tcPr>
          <w:p>
            <w:pPr>
              <w:jc w:val="right"/>
            </w:pPr>
            <w:r>
              <w:t>140</w:t>
            </w:r>
          </w:p>
        </w:tc>
        <w:tc>
          <w:tcPr>
            <w:tcW w:type="dxa" w:w="2493"/>
          </w:tcPr>
          <w:p>
            <w:pPr>
              <w:jc w:val="right"/>
            </w:pPr>
            <w:r>
              <w:t>203</w:t>
            </w:r>
          </w:p>
        </w:tc>
      </w:tr>
      <w:tr>
        <w:tc>
          <w:tcPr>
            <w:tcW w:type="dxa" w:w="2493"/>
          </w:tcPr>
          <w:p>
            <w:r>
              <w:t>Ingresos no operacionales</w:t>
            </w:r>
          </w:p>
        </w:tc>
        <w:tc>
          <w:tcPr>
            <w:tcW w:type="dxa" w:w="2493"/>
          </w:tcPr>
          <w:p>
            <w:pPr>
              <w:jc w:val="right"/>
            </w:pPr>
            <w:r>
              <w:t>6</w:t>
            </w:r>
          </w:p>
        </w:tc>
        <w:tc>
          <w:tcPr>
            <w:tcW w:type="dxa" w:w="2493"/>
          </w:tcPr>
          <w:p>
            <w:pPr>
              <w:jc w:val="right"/>
            </w:pPr>
            <w:r>
              <w:t>9</w:t>
            </w:r>
          </w:p>
        </w:tc>
        <w:tc>
          <w:tcPr>
            <w:tcW w:type="dxa" w:w="2493"/>
          </w:tcPr>
          <w:p>
            <w:pPr>
              <w:jc w:val="right"/>
            </w:pPr>
            <w:r>
              <w:t>5</w:t>
            </w:r>
          </w:p>
        </w:tc>
      </w:tr>
      <w:tr>
        <w:tc>
          <w:tcPr>
            <w:tcW w:type="dxa" w:w="2493"/>
          </w:tcPr>
          <w:p>
            <w:r>
              <w:t>Gastos financieros</w:t>
            </w:r>
          </w:p>
        </w:tc>
        <w:tc>
          <w:tcPr>
            <w:tcW w:type="dxa" w:w="2493"/>
          </w:tcPr>
          <w:p>
            <w:pPr>
              <w:jc w:val="right"/>
            </w:pPr>
            <w:r>
              <w:t>(38)</w:t>
            </w:r>
          </w:p>
        </w:tc>
        <w:tc>
          <w:tcPr>
            <w:tcW w:type="dxa" w:w="2493"/>
          </w:tcPr>
          <w:p>
            <w:pPr>
              <w:jc w:val="right"/>
            </w:pPr>
            <w:r>
              <w:t>(44)</w:t>
            </w:r>
          </w:p>
        </w:tc>
        <w:tc>
          <w:tcPr>
            <w:tcW w:type="dxa" w:w="2493"/>
          </w:tcPr>
          <w:p>
            <w:pPr>
              <w:jc w:val="right"/>
            </w:pPr>
            <w:r>
              <w:t>(37)</w:t>
            </w:r>
          </w:p>
        </w:tc>
      </w:tr>
      <w:tr>
        <w:tc>
          <w:tcPr>
            <w:tcW w:type="dxa" w:w="2493"/>
          </w:tcPr>
          <w:p>
            <w:r>
              <w:t>Utilidad antes de impuestos</w:t>
            </w:r>
          </w:p>
        </w:tc>
        <w:tc>
          <w:tcPr>
            <w:tcW w:type="dxa" w:w="2493"/>
          </w:tcPr>
          <w:p>
            <w:pPr>
              <w:jc w:val="right"/>
            </w:pPr>
            <w:r>
              <w:t>183</w:t>
            </w:r>
          </w:p>
        </w:tc>
        <w:tc>
          <w:tcPr>
            <w:tcW w:type="dxa" w:w="2493"/>
          </w:tcPr>
          <w:p>
            <w:pPr>
              <w:jc w:val="right"/>
            </w:pPr>
            <w:r>
              <w:t>105</w:t>
            </w:r>
          </w:p>
        </w:tc>
        <w:tc>
          <w:tcPr>
            <w:tcW w:type="dxa" w:w="2493"/>
          </w:tcPr>
          <w:p>
            <w:pPr>
              <w:jc w:val="right"/>
            </w:pPr>
            <w:r>
              <w:t>171</w:t>
            </w:r>
          </w:p>
        </w:tc>
      </w:tr>
    </w:tbl>
    <w:p/>
    <w:p>
      <w:r>
        <w:t>Notas del área:</w:t>
      </w:r>
    </w:p>
    <w:p>
      <w:r>
        <w:t>Mayor cartera vencida en agosto: dos clientes grandes pagaron en septiembre.</w:t>
      </w:r>
    </w:p>
    <w:p>
      <w:r>
        <w:t>El gasto de administración incluye una asesoría jurídica no presupuestada.</w:t>
      </w:r>
    </w:p>
    <w:p>
      <w:r>
        <w:rPr>
          <w:i/>
          <w:color w:val="555555"/>
          <w:sz w:val="16"/>
        </w:rPr>
        <w:t>Documento ficticio para el Bootcamp IA en Acción · Jaguarcol · Universidad EAN. No corresponde a ninguna entidad ni persona real. © 2026 Jorge Hugo Pérez Gaona · ICONEialabs. Todos los derechos reservados.</w:t>
      </w:r>
    </w:p>
    <w:sectPr w:rsidR="00FC693F" w:rsidRPr="0006063C" w:rsidSect="00034616">
      <w:pgSz w:w="12240" w:h="15840"/>
      <w:pgMar w:top="1440" w:right="1134" w:bottom="144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